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ind w:leftChars="0"/>
        <w:rPr>
          <w:rFonts w:ascii="微软雅黑" w:hAnsi="微软雅黑" w:eastAsia="微软雅黑"/>
          <w:sz w:val="32"/>
          <w:szCs w:val="32"/>
        </w:rPr>
      </w:pPr>
    </w:p>
    <w:p>
      <w:pPr>
        <w:numPr>
          <w:numId w:val="0"/>
        </w:numPr>
        <w:spacing w:line="360" w:lineRule="auto"/>
        <w:ind w:left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RW-60壁挂式泥水界面仪</w:t>
      </w:r>
    </w:p>
    <w:p>
      <w:pPr>
        <w:numPr>
          <w:numId w:val="0"/>
        </w:numPr>
        <w:spacing w:line="360" w:lineRule="auto"/>
        <w:ind w:leftChars="0"/>
        <w:rPr>
          <w:rFonts w:ascii="微软雅黑" w:hAnsi="微软雅黑" w:eastAsia="微软雅黑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产品概述</w:t>
      </w:r>
    </w:p>
    <w:p>
      <w:pPr>
        <w:autoSpaceDE w:val="0"/>
        <w:autoSpaceDN w:val="0"/>
        <w:adjustRightInd w:val="0"/>
        <w:spacing w:line="340" w:lineRule="atLeas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超声波泥水界面仪是利用可靠的超声波回波检测原理，计算超声波返回探头的时间，可以计算出污泥层的高度和厚度。有效的掌握污泥沉淀特性，对污泥的回流量进行精确的控制。让操作人员对优化污泥循环量、补偿废水的日常波动、修正非正常状态值、监测预浓缩池内的分离层做出实时的评价</w:t>
      </w:r>
      <w:r>
        <w:rPr>
          <w:rFonts w:ascii="宋体" w:hAnsi="宋体"/>
          <w:sz w:val="18"/>
          <w:szCs w:val="1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微软雅黑" w:hAnsi="微软雅黑" w:eastAsia="微软雅黑"/>
          <w:bCs/>
          <w:kern w:val="44"/>
          <w:sz w:val="24"/>
        </w:rPr>
      </w:pPr>
      <w:r>
        <w:rPr>
          <w:rFonts w:hint="eastAsia" w:ascii="微软雅黑" w:hAnsi="微软雅黑" w:eastAsia="微软雅黑"/>
          <w:bCs/>
          <w:kern w:val="44"/>
          <w:sz w:val="24"/>
        </w:rPr>
        <w:t>测量原理</w:t>
      </w:r>
    </w:p>
    <w:p>
      <w:pPr>
        <w:spacing w:line="300" w:lineRule="atLeast"/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超声波泥水界面仪测量是由安装在水中的超声波传感器，向被水下泥表面发射一束超声波脉冲，此脉冲信号遇到泥面后反射回来，能再被传感器接收到；从超声波发射到重新被接收，其时间与传感器到被测物体表面的距离成正比；仪表检测出该时间，并根据当前温度（传感器测量）水下的声速，计算出被测物体表面至传感器的距离（即空间距离），再进一步换算出泥位值。泥位表面的空水下距离W与声波的行程时间T成正比：W=V×T/2（其中V为声波水中速度）。用户自设定探头到池底的高度H，仪表自动将脉冲行程时间T换算成相应的空间距离值W，再计算出H减W的差值即为测量的值L</w:t>
      </w:r>
      <w:r>
        <w:rPr>
          <w:rFonts w:ascii="宋体" w:hAnsi="宋体"/>
          <w:sz w:val="18"/>
          <w:szCs w:val="18"/>
        </w:rPr>
        <w:t>。</w:t>
      </w:r>
    </w:p>
    <w:p>
      <w:pPr>
        <w:numPr>
          <w:ilvl w:val="0"/>
          <w:numId w:val="1"/>
        </w:numPr>
        <w:spacing w:line="240" w:lineRule="atLeas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产品特点</w:t>
      </w:r>
    </w:p>
    <w:p>
      <w:pPr>
        <w:pStyle w:val="2"/>
        <w:numPr>
          <w:ilvl w:val="0"/>
          <w:numId w:val="2"/>
        </w:numPr>
        <w:spacing w:line="320" w:lineRule="atLeast"/>
        <w:rPr>
          <w:rFonts w:ascii="宋体" w:eastAsia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免维护、高精度、使用寿命长</w:t>
      </w:r>
    </w:p>
    <w:p>
      <w:pPr>
        <w:pStyle w:val="2"/>
        <w:numPr>
          <w:ilvl w:val="0"/>
          <w:numId w:val="2"/>
        </w:numPr>
        <w:spacing w:line="320" w:lineRule="atLeast"/>
        <w:rPr>
          <w:rFonts w:ascii="宋体" w:eastAsia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大电流继电器，支持多路报警输出</w:t>
      </w:r>
    </w:p>
    <w:p>
      <w:pPr>
        <w:pStyle w:val="2"/>
        <w:numPr>
          <w:ilvl w:val="0"/>
          <w:numId w:val="2"/>
        </w:numPr>
        <w:spacing w:line="320" w:lineRule="atLeast"/>
        <w:rPr>
          <w:rFonts w:ascii="宋体" w:eastAsia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4-20mA电流输出RS485智能传输信号输出，支持ModBus协议</w:t>
      </w:r>
    </w:p>
    <w:p>
      <w:pPr>
        <w:pStyle w:val="2"/>
        <w:numPr>
          <w:ilvl w:val="0"/>
          <w:numId w:val="2"/>
        </w:numPr>
        <w:spacing w:line="320" w:lineRule="atLeast"/>
        <w:rPr>
          <w:rFonts w:ascii="宋体" w:eastAsia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LCD液晶显示窗，外形美观精致，显示信息丰富</w:t>
      </w:r>
    </w:p>
    <w:p>
      <w:pPr>
        <w:pStyle w:val="2"/>
        <w:numPr>
          <w:ilvl w:val="0"/>
          <w:numId w:val="2"/>
        </w:numPr>
        <w:spacing w:line="320" w:lineRule="atLeast"/>
        <w:rPr>
          <w:rFonts w:ascii="宋体" w:eastAsia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节省场地、工作可靠</w:t>
      </w:r>
    </w:p>
    <w:p>
      <w:pPr>
        <w:pStyle w:val="2"/>
        <w:numPr>
          <w:ilvl w:val="0"/>
          <w:numId w:val="2"/>
        </w:numPr>
        <w:spacing w:line="320" w:lineRule="atLeast"/>
        <w:rPr>
          <w:rFonts w:ascii="宋体" w:eastAsia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高精度自动温度补偿系统；</w:t>
      </w:r>
    </w:p>
    <w:p>
      <w:pPr>
        <w:pStyle w:val="2"/>
        <w:numPr>
          <w:ilvl w:val="0"/>
          <w:numId w:val="2"/>
        </w:numPr>
        <w:spacing w:line="320" w:lineRule="atLeast"/>
        <w:rPr>
          <w:rFonts w:ascii="宋体" w:eastAsia="宋体"/>
          <w:sz w:val="18"/>
          <w:szCs w:val="18"/>
        </w:rPr>
      </w:pPr>
      <w:r>
        <w:rPr>
          <w:rFonts w:hint="eastAsia" w:ascii="宋体" w:eastAsia="宋体"/>
          <w:sz w:val="18"/>
          <w:szCs w:val="18"/>
        </w:rPr>
        <w:t>中英文操作界面</w:t>
      </w: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3"/>
        <w:numPr>
          <w:ilvl w:val="0"/>
          <w:numId w:val="3"/>
        </w:numPr>
        <w:spacing w:before="0" w:after="0"/>
        <w:jc w:val="both"/>
        <w:rPr>
          <w:rFonts w:hint="eastAsia" w:ascii="宋体" w:eastAsia="宋体"/>
          <w:sz w:val="18"/>
          <w:szCs w:val="18"/>
        </w:rPr>
      </w:pPr>
      <w:r>
        <w:rPr>
          <w:rFonts w:hint="eastAsia" w:ascii="微软雅黑" w:hAnsi="微软雅黑" w:eastAsia="微软雅黑"/>
          <w:b w:val="0"/>
          <w:sz w:val="24"/>
          <w:szCs w:val="24"/>
        </w:rPr>
        <w:t>技术参数</w:t>
      </w:r>
    </w:p>
    <w:tbl>
      <w:tblPr>
        <w:tblStyle w:val="4"/>
        <w:tblpPr w:leftFromText="180" w:rightFromText="180" w:vertAnchor="text" w:horzAnchor="page" w:tblpX="6033" w:tblpY="297"/>
        <w:tblOverlap w:val="never"/>
        <w:tblW w:w="5379" w:type="dxa"/>
        <w:tblInd w:w="0" w:type="dxa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3152"/>
      </w:tblGrid>
      <w:tr>
        <w:tblPrEx>
          <w:tblBorders>
            <w:top w:val="threeDEngrave" w:color="auto" w:sz="12" w:space="0"/>
            <w:left w:val="threeDEngrave" w:color="auto" w:sz="12" w:space="0"/>
            <w:bottom w:val="threeDEngrave" w:color="auto" w:sz="12" w:space="0"/>
            <w:right w:val="threeDEngrav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2227" w:type="dxa"/>
            <w:tcBorders>
              <w:right w:val="threeDEngrave" w:color="auto" w:sz="12" w:space="0"/>
            </w:tcBorders>
            <w:noWrap w:val="0"/>
            <w:vAlign w:val="top"/>
          </w:tcPr>
          <w:p>
            <w:pPr>
              <w:pStyle w:val="6"/>
              <w:numPr>
                <w:ilvl w:val="0"/>
                <w:numId w:val="4"/>
              </w:numPr>
              <w:spacing w:before="50" w:after="312" w:afterLines="100"/>
              <w:ind w:left="459" w:hanging="425" w:firstLineChars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292100</wp:posOffset>
                  </wp:positionV>
                  <wp:extent cx="857250" cy="998220"/>
                  <wp:effectExtent l="0" t="0" r="11430" b="7620"/>
                  <wp:wrapNone/>
                  <wp:docPr id="2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变送器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技术参数</w:t>
            </w:r>
          </w:p>
          <w:p>
            <w:pPr>
              <w:spacing w:after="156" w:afterLines="50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after="156" w:afterLines="5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after="156" w:afterLines="5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threeDEngrave" w:color="auto" w:sz="12" w:space="0"/>
              <w:left w:val="threeDEngrave" w:color="auto" w:sz="12" w:space="0"/>
              <w:bottom w:val="nil"/>
            </w:tcBorders>
            <w:noWrap w:val="0"/>
            <w:vAlign w:val="top"/>
          </w:tcPr>
          <w:p>
            <w:pPr>
              <w:spacing w:after="156" w:afterLines="50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ind w:firstLine="28" w:firstLineChars="1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测量范围：0~20m</w:t>
            </w:r>
          </w:p>
          <w:p>
            <w:pPr>
              <w:ind w:firstLine="28" w:firstLineChars="1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显示方式：</w:t>
            </w:r>
            <w:r>
              <w:rPr>
                <w:rFonts w:ascii="宋体" w:hAnsi="宋体"/>
                <w:sz w:val="18"/>
                <w:szCs w:val="18"/>
              </w:rPr>
              <w:t>LCD</w:t>
            </w:r>
            <w:r>
              <w:rPr>
                <w:rFonts w:hint="eastAsia" w:ascii="宋体" w:hAnsi="宋体"/>
                <w:sz w:val="18"/>
                <w:szCs w:val="18"/>
              </w:rPr>
              <w:t>液晶显示</w:t>
            </w:r>
          </w:p>
          <w:p>
            <w:pPr>
              <w:ind w:firstLine="28" w:firstLineChars="1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盲区： 0.25-0.65m</w:t>
            </w:r>
          </w:p>
          <w:p>
            <w:pPr>
              <w:ind w:firstLine="28" w:firstLineChars="1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辨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率：1mm</w:t>
            </w:r>
          </w:p>
          <w:p>
            <w:pPr>
              <w:ind w:left="1083" w:leftChars="17" w:hanging="1047" w:hangingChars="582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精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确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度：</w:t>
            </w:r>
            <w:r>
              <w:rPr>
                <w:rFonts w:ascii="宋体" w:hAnsi="宋体"/>
                <w:sz w:val="18"/>
                <w:szCs w:val="18"/>
              </w:rPr>
              <w:t>±3%</w:t>
            </w:r>
            <w:r>
              <w:rPr>
                <w:rFonts w:hint="eastAsia" w:ascii="宋体" w:hAnsi="宋体"/>
                <w:sz w:val="18"/>
                <w:szCs w:val="18"/>
              </w:rPr>
              <w:t>FS</w:t>
            </w:r>
          </w:p>
          <w:p>
            <w:pPr>
              <w:ind w:firstLine="28" w:firstLineChars="1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复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性：±5mm</w:t>
            </w:r>
          </w:p>
          <w:p>
            <w:pPr>
              <w:ind w:firstLine="28" w:firstLineChars="1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环境温度：</w:t>
            </w:r>
            <w:r>
              <w:rPr>
                <w:rFonts w:ascii="宋体" w:hAnsi="宋体"/>
                <w:sz w:val="18"/>
                <w:szCs w:val="18"/>
              </w:rPr>
              <w:t>-20~60</w:t>
            </w: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  <w:p>
            <w:pPr>
              <w:ind w:firstLine="28" w:firstLineChars="1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相对湿度：（</w:t>
            </w: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%</w:t>
            </w:r>
          </w:p>
          <w:p>
            <w:pPr>
              <w:ind w:firstLine="28" w:firstLineChars="1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模拟输出：</w:t>
            </w:r>
            <w:r>
              <w:rPr>
                <w:rFonts w:ascii="宋体" w:hAnsi="宋体"/>
                <w:sz w:val="18"/>
                <w:szCs w:val="18"/>
              </w:rPr>
              <w:t>4~20mA</w:t>
            </w:r>
            <w:r>
              <w:rPr>
                <w:rFonts w:hint="eastAsia" w:ascii="宋体" w:hAnsi="宋体"/>
                <w:sz w:val="18"/>
                <w:szCs w:val="18"/>
              </w:rPr>
              <w:t>、负载</w:t>
            </w: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t>Ω</w:t>
            </w:r>
          </w:p>
          <w:p>
            <w:pPr>
              <w:ind w:left="1083" w:leftChars="17" w:hanging="1047" w:hangingChars="582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报警输出：双路继电器(3路可选)</w:t>
            </w:r>
          </w:p>
          <w:p>
            <w:pPr>
              <w:ind w:left="1083" w:leftChars="17" w:hanging="1047" w:hangingChars="582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数字输出：</w:t>
            </w:r>
            <w:r>
              <w:rPr>
                <w:rFonts w:ascii="宋体" w:hAnsi="宋体"/>
                <w:sz w:val="18"/>
                <w:szCs w:val="18"/>
              </w:rPr>
              <w:t>RS485</w:t>
            </w:r>
          </w:p>
          <w:p>
            <w:pPr>
              <w:ind w:firstLine="28" w:firstLineChars="1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供电电源：</w:t>
            </w:r>
            <w:r>
              <w:rPr>
                <w:rFonts w:ascii="宋体" w:hAnsi="宋体"/>
                <w:sz w:val="18"/>
                <w:szCs w:val="18"/>
              </w:rPr>
              <w:t>AC220V±10%</w:t>
            </w:r>
            <w:r>
              <w:rPr>
                <w:rFonts w:hint="eastAsia" w:ascii="宋体" w:hAnsi="宋体"/>
                <w:sz w:val="18"/>
                <w:szCs w:val="18"/>
              </w:rPr>
              <w:t>或</w:t>
            </w:r>
            <w:r>
              <w:rPr>
                <w:rFonts w:ascii="宋体" w:hAnsi="宋体"/>
                <w:sz w:val="18"/>
                <w:szCs w:val="18"/>
              </w:rPr>
              <w:t>DC24V</w:t>
            </w:r>
          </w:p>
          <w:p>
            <w:pPr>
              <w:ind w:firstLine="28" w:firstLineChars="16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防护等级：IP65</w:t>
            </w:r>
          </w:p>
        </w:tc>
      </w:tr>
      <w:tr>
        <w:tblPrEx>
          <w:tblBorders>
            <w:top w:val="threeDEngrave" w:color="auto" w:sz="12" w:space="0"/>
            <w:left w:val="threeDEngrave" w:color="auto" w:sz="12" w:space="0"/>
            <w:bottom w:val="threeDEngrave" w:color="auto" w:sz="12" w:space="0"/>
            <w:right w:val="threeDEngrav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2227" w:type="dxa"/>
            <w:tcBorders>
              <w:right w:val="threeDEngrave" w:color="auto" w:sz="12" w:space="0"/>
            </w:tcBorders>
            <w:noWrap w:val="0"/>
            <w:vAlign w:val="top"/>
          </w:tcPr>
          <w:p>
            <w:pPr>
              <w:pStyle w:val="6"/>
              <w:numPr>
                <w:ilvl w:val="0"/>
                <w:numId w:val="4"/>
              </w:numPr>
              <w:snapToGrid w:val="0"/>
              <w:spacing w:line="200" w:lineRule="atLeast"/>
              <w:ind w:left="459" w:hanging="42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传感器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技术参数</w:t>
            </w:r>
          </w:p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200025</wp:posOffset>
                  </wp:positionV>
                  <wp:extent cx="1295400" cy="971550"/>
                  <wp:effectExtent l="0" t="0" r="0" b="3810"/>
                  <wp:wrapNone/>
                  <wp:docPr id="1" name="图片 3" descr="泥水探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泥水探头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2" w:type="dxa"/>
            <w:tcBorders>
              <w:top w:val="nil"/>
              <w:left w:val="threeDEngrave" w:color="auto" w:sz="12" w:space="0"/>
              <w:bottom w:val="threeDEngrave" w:color="auto" w:sz="12" w:space="0"/>
            </w:tcBorders>
            <w:noWrap w:val="0"/>
            <w:vAlign w:val="top"/>
          </w:tcPr>
          <w:p>
            <w:pPr>
              <w:spacing w:after="156" w:afterLines="50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60" w:lineRule="auto"/>
              <w:ind w:left="173" w:leftChars="39" w:hanging="91" w:hangingChars="5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材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质：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不锈钢</w:t>
            </w:r>
          </w:p>
          <w:p>
            <w:pPr>
              <w:spacing w:line="60" w:lineRule="auto"/>
              <w:ind w:left="173" w:leftChars="39" w:hanging="91" w:hangingChars="5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温度范围：</w:t>
            </w:r>
            <w:r>
              <w:rPr>
                <w:rFonts w:ascii="宋体" w:hAnsi="宋体"/>
                <w:sz w:val="18"/>
                <w:szCs w:val="18"/>
              </w:rPr>
              <w:t xml:space="preserve"> 0-60</w:t>
            </w:r>
            <w:r>
              <w:rPr>
                <w:rFonts w:hint="eastAsia" w:ascii="宋体" w:hAnsi="宋体" w:cs="宋体"/>
                <w:sz w:val="18"/>
                <w:szCs w:val="18"/>
              </w:rPr>
              <w:t>℃</w:t>
            </w:r>
          </w:p>
          <w:p>
            <w:pPr>
              <w:spacing w:line="60" w:lineRule="auto"/>
              <w:ind w:left="173" w:leftChars="39" w:hanging="91" w:hangingChars="5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耐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压：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＜0.6</w:t>
            </w:r>
            <w:r>
              <w:rPr>
                <w:rFonts w:ascii="宋体" w:hAnsi="宋体"/>
                <w:sz w:val="18"/>
                <w:szCs w:val="18"/>
              </w:rPr>
              <w:t>MPa</w:t>
            </w:r>
          </w:p>
          <w:p>
            <w:pPr>
              <w:spacing w:line="60" w:lineRule="auto"/>
              <w:ind w:left="173" w:leftChars="39" w:hanging="91" w:hangingChars="5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安装尺寸：</w:t>
            </w:r>
            <w:r>
              <w:rPr>
                <w:rFonts w:ascii="宋体" w:hAnsi="宋体"/>
                <w:sz w:val="18"/>
                <w:szCs w:val="18"/>
              </w:rPr>
              <w:t xml:space="preserve"> 3/4</w:t>
            </w:r>
            <w:r>
              <w:rPr>
                <w:rFonts w:hint="eastAsia" w:ascii="宋体" w:hAnsi="宋体"/>
                <w:sz w:val="18"/>
                <w:szCs w:val="18"/>
              </w:rPr>
              <w:t>NPT</w:t>
            </w:r>
          </w:p>
          <w:p>
            <w:pPr>
              <w:spacing w:line="60" w:lineRule="auto"/>
              <w:ind w:left="173" w:leftChars="39" w:hanging="91" w:hangingChars="5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防护等级：</w:t>
            </w:r>
            <w:r>
              <w:rPr>
                <w:rFonts w:ascii="宋体" w:hAnsi="宋体"/>
                <w:sz w:val="18"/>
                <w:szCs w:val="18"/>
              </w:rPr>
              <w:t xml:space="preserve"> IP68</w:t>
            </w:r>
          </w:p>
          <w:p>
            <w:pPr>
              <w:snapToGrid w:val="0"/>
              <w:ind w:left="173" w:leftChars="39" w:hanging="91" w:hangingChars="5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安装方式：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分体式</w:t>
            </w:r>
          </w:p>
          <w:p>
            <w:pPr>
              <w:spacing w:line="60" w:lineRule="auto"/>
              <w:ind w:left="173" w:leftChars="39" w:hanging="91" w:hangingChars="5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连接电缆：屏蔽线缆</w:t>
            </w:r>
            <w:r>
              <w:rPr>
                <w:rFonts w:ascii="宋体" w:hAnsi="宋体"/>
                <w:sz w:val="18"/>
                <w:szCs w:val="18"/>
              </w:rPr>
              <w:t>10m (</w:t>
            </w:r>
            <w:r>
              <w:rPr>
                <w:rFonts w:hint="eastAsia" w:ascii="宋体" w:hAnsi="宋体"/>
                <w:sz w:val="18"/>
                <w:szCs w:val="18"/>
              </w:rPr>
              <w:t>分体式标配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  <w:p>
            <w:pPr>
              <w:spacing w:line="60" w:lineRule="auto"/>
              <w:ind w:left="173" w:leftChars="39" w:hanging="91" w:hangingChars="51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2"/>
        <w:widowControl w:val="0"/>
        <w:numPr>
          <w:numId w:val="0"/>
        </w:numPr>
        <w:tabs>
          <w:tab w:val="left" w:pos="420"/>
        </w:tabs>
        <w:spacing w:line="320" w:lineRule="atLeast"/>
        <w:jc w:val="both"/>
        <w:rPr>
          <w:rFonts w:hint="eastAsia" w:ascii="宋体" w:eastAsia="宋体"/>
          <w:sz w:val="18"/>
          <w:szCs w:val="18"/>
        </w:rPr>
      </w:pPr>
    </w:p>
    <w:p>
      <w:pPr>
        <w:pStyle w:val="3"/>
        <w:numPr>
          <w:numId w:val="0"/>
        </w:numPr>
        <w:spacing w:before="0" w:after="0"/>
        <w:ind w:leftChars="0"/>
        <w:jc w:val="left"/>
        <w:rPr>
          <w:rFonts w:ascii="微软雅黑" w:hAnsi="微软雅黑" w:eastAsia="微软雅黑"/>
          <w:b w:val="0"/>
          <w:sz w:val="24"/>
          <w:szCs w:val="24"/>
        </w:rPr>
      </w:pPr>
      <w:bookmarkStart w:id="0" w:name="_GoBack"/>
      <w:bookmarkEnd w:id="0"/>
    </w:p>
    <w:p>
      <w:pPr>
        <w:pStyle w:val="3"/>
        <w:numPr>
          <w:numId w:val="0"/>
        </w:numPr>
        <w:spacing w:before="0" w:after="0"/>
        <w:ind w:leftChars="0"/>
        <w:jc w:val="left"/>
      </w:pPr>
    </w:p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abstractNum w:abstractNumId="0">
    <w:nsid w:val="15A05826"/>
    <w:multiLevelType w:val="multilevel"/>
    <w:tmpl w:val="15A05826"/>
    <w:lvl w:ilvl="0" w:tentative="0">
      <w:start w:val="1"/>
      <w:numFmt w:val="bullet"/>
      <w:lvlText w:val=""/>
      <w:lvlPicBulletId w:val="1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71E73"/>
    <w:multiLevelType w:val="singleLevel"/>
    <w:tmpl w:val="53571E7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53756C11"/>
    <w:multiLevelType w:val="singleLevel"/>
    <w:tmpl w:val="53756C11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7C3C55B6"/>
    <w:multiLevelType w:val="multilevel"/>
    <w:tmpl w:val="7C3C55B6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E7995"/>
    <w:rsid w:val="690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隶书" w:hAnsi="宋体" w:eastAsia="隶书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2021-11-23T06:11:00Z</dcterms:created>
  <dc:creator>上海阔思电子-程炎</dc:creator>
  <cp:lastModifiedBy>上海阔思电子-程炎</cp:lastModifiedBy>
  <dcterms:modified xsi:type="dcterms:W3CDTF">2021-11-23T06:15:25Z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B483468D777848459C9EF52862E2FC2D</vt:lpwstr>
  </property>
</Properties>
</file>